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10"/>
        <w:gridCol w:w="5115"/>
        <w:gridCol w:w="9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考生所在地及途径地统计表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（面试前14天）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考生所在地及途径地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      省       市         县（区）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说明：考生应如实填表。途径地是指，考生经过该县时，曾经离开交通工具进行逗留，未离开交通工具的不统计。</w:t>
            </w:r>
            <w:r>
              <w:rPr>
                <w:rStyle w:val="4"/>
                <w:lang w:val="en-US" w:eastAsia="zh-CN" w:bidi="ar"/>
              </w:rPr>
              <w:t>1日内途径多地的，均需统计。内容填写不下的，可调整表格或加附页。考生有境外经历的，请在备注栏具体注明。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签    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提交日期：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C7AFE"/>
    <w:rsid w:val="23A92831"/>
    <w:rsid w:val="64835EDF"/>
    <w:rsid w:val="6B0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2021-08-01T02:52:00Z</dcterms:created>
  <dc:creator>1832</dc:creator>
  <cp:lastModifiedBy>admin</cp:lastModifiedBy>
  <dcterms:modified xsi:type="dcterms:W3CDTF">2021-12-13T02:03:35Z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F589885C8D6341399108751037924D03</vt:lpwstr>
  </property>
</Properties>
</file>